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3" w:rsidRDefault="002F0123" w:rsidP="00943F68">
      <w:pPr>
        <w:ind w:left="-709" w:right="-426"/>
      </w:pPr>
    </w:p>
    <w:p w:rsidR="008C1D24" w:rsidRDefault="007858D0" w:rsidP="003665C3">
      <w:pPr>
        <w:spacing w:after="0" w:line="240" w:lineRule="auto"/>
        <w:ind w:left="-709" w:right="-425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транспортированию, хранению и эксплуатации межкомнатных дверных полотен.</w:t>
      </w:r>
    </w:p>
    <w:p w:rsidR="007858D0" w:rsidRDefault="00BD6B03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 ИЗДЕЛИЯ.</w:t>
      </w:r>
    </w:p>
    <w:p w:rsidR="00BD6B03" w:rsidRDefault="00BD6B03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Межкомнатные дверные блоки состоят из: дверного полотна, дверной коробки, наличников и фурнитуры (при необходимости).</w:t>
      </w:r>
    </w:p>
    <w:p w:rsidR="00BD6B03" w:rsidRDefault="00BD6B03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распространяется на транспортирование, хранение и эксплуатацию межкомнатных дверных полотен, которые состоят из каркаса и плиты облицованной пленочным материалом. Дверные полотна по ГОСТ 475-78 предназначены для обеспечения и  ограничения доступа внутри помещений,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отдельными и смежными комнатами, а также для ограничения визуального доступа в помещения.</w:t>
      </w:r>
    </w:p>
    <w:p w:rsidR="00BD6B03" w:rsidRDefault="00BD6B03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УСЛОВИЯ ДЛЯ ТРАНСПОРТИРОВАНИЯ, ХРАНЕНИЯ И ЭКСПЛУАТАЦИИ.</w:t>
      </w:r>
    </w:p>
    <w:p w:rsidR="00BD6B03" w:rsidRDefault="00BD6B03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ТРАНСПОРТИРОВАНИЕ.</w:t>
      </w:r>
    </w:p>
    <w:p w:rsidR="00BD6B03" w:rsidRDefault="00FA3836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Транспортирование дверей осуществляется от производителя до склада потребителя и от склада до покупателя. При транспортировании дверей должны быть приняты меры для предохранения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механических повреждений, загрязнения, увлажнения, воздействия атмосферных осадков и прямых солнечных лучей.</w:t>
      </w:r>
    </w:p>
    <w:p w:rsidR="00FA3836" w:rsidRDefault="00EE4B91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ТРАНСПОРТИРОВАНИЕ ДВЕРЕЙ ОТ ПРОИЗВОДИТЕЛЯ ДО СКЛАДА ПОТРЕБИТЕЛЯ.</w:t>
      </w:r>
    </w:p>
    <w:p w:rsidR="00EE4B91" w:rsidRDefault="0048340D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Транспортирование дверей от производителя до склада потребителя осуществляется в «паллетах», высотой складирования не более 45 полотен. Для предотвращения дверей от загрязнения, увлажнения, воздействия атмосферных осадков, каждая межкомнатная дверь упаковывается отдельно в полиэтилен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гофрокартон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«Паллета» с дверями упаковывается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стрейч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пленкой и полиэтиленом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Двери перевозят крытыми транспортными средствами всех видов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«Паллеты» с дверями устанавливаются поперек кузова, вплотную одна к другой. Для защиты от механических повреждений между бортами машины и «паллеты» укладывают прокладочные материалы. «Паллеты» с дверными полотнами перед их транспортированием должны быть надежно закреплены приспособлениями, не вызывающими повреждение изделий (ремнями, стяжками).</w:t>
      </w:r>
    </w:p>
    <w:p w:rsidR="0048340D" w:rsidRDefault="00946CCE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ТРАНСПОРТИРОВАНИЕ ДВЕРЕЙ ОТ СКЛАДА ДО ПОКУПАТЕЛЯ.</w:t>
      </w:r>
    </w:p>
    <w:p w:rsidR="00946CCE" w:rsidRDefault="00946CCE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Транспортирование дверей от склада до покупателя допускается любым видом автотранспорта. Необходимо подготовить транспортное средство (кузов автомобиля или контейнера) борта и пол укрыть подкладочным материалом. При погрузке в автомобиль двери устанавливают вертикально от боковых стенок, плотно одна к другой, пустоты заполняются отходами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укладке </w:t>
      </w:r>
      <w:r w:rsidR="007A4D91">
        <w:rPr>
          <w:rFonts w:ascii="Times New Roman" w:hAnsi="Times New Roman" w:cs="Times New Roman"/>
          <w:sz w:val="24"/>
          <w:szCs w:val="24"/>
        </w:rPr>
        <w:t>дверей стопой, высота складирования полотен не более 15 штук</w:t>
      </w:r>
      <w:proofErr w:type="gramStart"/>
      <w:r w:rsidR="007A4D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4D91">
        <w:rPr>
          <w:rFonts w:ascii="Times New Roman" w:hAnsi="Times New Roman" w:cs="Times New Roman"/>
          <w:sz w:val="24"/>
          <w:szCs w:val="24"/>
        </w:rPr>
        <w:t xml:space="preserve"> Для предотвращения смещения, необходимо двери закрепить приспособлениями, не вызывающими повреждений изделий (ремнями, веревками, стяжками). </w:t>
      </w:r>
    </w:p>
    <w:p w:rsidR="007A4D91" w:rsidRDefault="007A4D91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транспортировании дверей легковым видом транспорта, дверь рекомендуется уложить на багажник крыши автомобиля. Для предотвращения смещения дверное полотно закрепить приспособлениями</w:t>
      </w:r>
      <w:r>
        <w:rPr>
          <w:rFonts w:ascii="Times New Roman" w:hAnsi="Times New Roman" w:cs="Times New Roman"/>
          <w:sz w:val="24"/>
          <w:szCs w:val="24"/>
        </w:rPr>
        <w:t xml:space="preserve">, не вызывающими повреждений изделий (ремнями, веревками, стяжками). </w:t>
      </w:r>
      <w:r>
        <w:rPr>
          <w:rFonts w:ascii="Times New Roman" w:hAnsi="Times New Roman" w:cs="Times New Roman"/>
          <w:sz w:val="24"/>
          <w:szCs w:val="24"/>
        </w:rPr>
        <w:t xml:space="preserve">Забивка гвоздей или других крепежных деталей допускается только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нелицевые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стороны коробок.</w:t>
      </w:r>
    </w:p>
    <w:p w:rsidR="007A4D91" w:rsidRDefault="007A4D91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должна производиться в заводской упаковке.</w:t>
      </w:r>
    </w:p>
    <w:p w:rsidR="007A4D91" w:rsidRDefault="00AD515B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ХРАНЕНИЕ И ЭКСПЛУАТАЦИЯ.</w:t>
      </w:r>
    </w:p>
    <w:p w:rsidR="00AD515B" w:rsidRDefault="00AD515B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Дверные полотна требуют бережного обращения и предназначены для использования в помещениях с постоянной относительной влажностью воздуха не более 60% и температурой воздуха 18-25 С.</w:t>
      </w:r>
    </w:p>
    <w:p w:rsidR="00AD515B" w:rsidRDefault="00AD515B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Полотна должны храниться в сухом вентилируемом помещении, должны быть закрыты от попадания прямого солнечного света, так как это приводит к выцветанию облицовочной пленки и деформации пластиковой рамки.</w:t>
      </w:r>
    </w:p>
    <w:p w:rsidR="00AD515B" w:rsidRDefault="00AD515B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хранить двери в помещениях, где проводятся отделочные работы с большим выделением влаги (побелка, шпатлевка, оклейка обоями, стяжка). При установке дверных блоков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строящемся или ремонтируемом помещении, необходимо убедиться, что помещение </w:t>
      </w:r>
      <w:r w:rsidR="00326AA4">
        <w:rPr>
          <w:rFonts w:ascii="Times New Roman" w:hAnsi="Times New Roman" w:cs="Times New Roman"/>
          <w:sz w:val="24"/>
          <w:szCs w:val="24"/>
        </w:rPr>
        <w:t xml:space="preserve">соответствует температурно-влажностному режиму. Резкие колебания окружающей среды могут повлечь за собой появление трещин и искривление отдельных элементов конструкции. </w:t>
      </w:r>
      <w:r w:rsidR="00E44139">
        <w:rPr>
          <w:rFonts w:ascii="Times New Roman" w:hAnsi="Times New Roman" w:cs="Times New Roman"/>
          <w:sz w:val="24"/>
          <w:szCs w:val="24"/>
        </w:rPr>
        <w:t xml:space="preserve">При установке дверей </w:t>
      </w:r>
      <w:r w:rsidR="00E44139">
        <w:rPr>
          <w:rFonts w:ascii="Times New Roman" w:hAnsi="Times New Roman" w:cs="Times New Roman"/>
          <w:sz w:val="24"/>
          <w:szCs w:val="24"/>
        </w:rPr>
        <w:t>в строящемся или ремонтируемом помещении,</w:t>
      </w:r>
      <w:r w:rsidR="00E44139">
        <w:rPr>
          <w:rFonts w:ascii="Times New Roman" w:hAnsi="Times New Roman" w:cs="Times New Roman"/>
          <w:sz w:val="24"/>
          <w:szCs w:val="24"/>
        </w:rPr>
        <w:t xml:space="preserve"> снимите дверь с петель, упакуйте в полиэтилен и вынесите их из помещения. Повышенная влажность может привести к деформации плиты или отклеиванию плиты от древесины. Нельзя оставлять двери и их комплектующих </w:t>
      </w:r>
      <w:proofErr w:type="gramStart"/>
      <w:r w:rsidR="00E44139">
        <w:rPr>
          <w:rFonts w:ascii="Times New Roman" w:hAnsi="Times New Roman" w:cs="Times New Roman"/>
          <w:sz w:val="24"/>
          <w:szCs w:val="24"/>
        </w:rPr>
        <w:t>в близи</w:t>
      </w:r>
      <w:proofErr w:type="gramEnd"/>
      <w:r w:rsidR="00E44139">
        <w:rPr>
          <w:rFonts w:ascii="Times New Roman" w:hAnsi="Times New Roman" w:cs="Times New Roman"/>
          <w:sz w:val="24"/>
          <w:szCs w:val="24"/>
        </w:rPr>
        <w:t xml:space="preserve"> отопительных систем.</w:t>
      </w:r>
    </w:p>
    <w:p w:rsidR="00E44139" w:rsidRDefault="0079680E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эксплуатации НЕ ДОПУСКАЙТЕ ВОЗДЕЙСТВИЯ ИЗБЫТОЧНОЙ ВЛАГИ на дверь. Также чрезмерно сухой воздух и высокая температура отрицательно влияют на дверные полотна.</w:t>
      </w:r>
    </w:p>
    <w:p w:rsidR="0079680E" w:rsidRDefault="0079680E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Открывание и закрывание дверного полотна обеспечивать при помощи ручек и запорных элементов. Рекомендуется периодическое смазывание шарниров петель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Допустима сухая и влажная уборка с использованием бытовых моющих средств без абразивных включений. При очистке двери НЕ РАЗРЕШАЕТСЯ использовать наждачную бумагу и химически активные вещества, такие как ацетон, бензин. Не допускайте повреждений заводского покрытия полотна.</w:t>
      </w:r>
    </w:p>
    <w:p w:rsidR="0079680E" w:rsidRDefault="0079680E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установкой дверей рекомендуется хотя бы на 3-4 дня внести их в помещение, где они будут устанавливаться, для их акклиматизации.</w:t>
      </w:r>
    </w:p>
    <w:p w:rsidR="0079680E" w:rsidRDefault="00880D26" w:rsidP="003665C3">
      <w:pPr>
        <w:spacing w:after="0" w:line="240" w:lineRule="auto"/>
        <w:ind w:left="-709" w:right="-425" w:firstLine="28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СОХРАНЯТЙЕ ПОЛИЭТИЛЕНОВУЮ УПАКОВКУ КАК МОЖНО ДОЛЬШЕ – ДО МОМЕНТА УСТАНОВКИ.</w:t>
      </w:r>
    </w:p>
    <w:p w:rsidR="00880D26" w:rsidRDefault="002C6661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ПОДГОТОВКА ИЗДЕЛИЯ К ИСПОЛЬЗОВАНИЮ.</w:t>
      </w:r>
    </w:p>
    <w:p w:rsidR="002C6661" w:rsidRDefault="00A3758C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установки дверей воспользоваться услугами только квалифицированных специалистов, которые выполнят установку дверей быстро, качественно и с гарантией. ВРЕЗКА ДОЛЖНА ОСУЩЕСТВЛЯТЬСЯ ТОЛЬКО ПРИ ПОМОЩИ ФРЕЗЕРНОЙ МАШИНЫ.</w:t>
      </w:r>
    </w:p>
    <w:p w:rsidR="00A3758C" w:rsidRDefault="00D1026A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полотен должны быть: 600-2мм., 700-2мм., 800-2мм., 900-2мм. и высотой 1900-2мм., 2000-2мм., и не должны обрезаться для установки в проем.</w:t>
      </w:r>
    </w:p>
    <w:p w:rsidR="00D1026A" w:rsidRDefault="00D1026A" w:rsidP="003665C3">
      <w:pPr>
        <w:pStyle w:val="a9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дверную фурнитуру, соответствующую следующим требованиям:</w:t>
      </w:r>
    </w:p>
    <w:p w:rsidR="00D1026A" w:rsidRDefault="00D1026A" w:rsidP="003665C3">
      <w:pPr>
        <w:pStyle w:val="a9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Дверной замок (врезной) должен быть не более 75*110*18мм. по размерам тела, шириной накладной части до 25мм. и высотой до 200мм. Врезка </w:t>
      </w:r>
      <w:r w:rsidR="00C953F5">
        <w:rPr>
          <w:rFonts w:ascii="Times New Roman" w:hAnsi="Times New Roman" w:cs="Times New Roman"/>
          <w:sz w:val="24"/>
          <w:szCs w:val="24"/>
        </w:rPr>
        <w:t>производится на расстоянии 1000мм. +-50мм. от нижней части дверного полотна.</w:t>
      </w:r>
    </w:p>
    <w:p w:rsidR="00C953F5" w:rsidRDefault="00C953F5" w:rsidP="003665C3">
      <w:pPr>
        <w:pStyle w:val="a9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Дверные петли должны устанавливаться на расстоянии 250мм. от нижней и верхней части дверного полотна. </w:t>
      </w:r>
    </w:p>
    <w:p w:rsidR="00C953F5" w:rsidRDefault="00C953F5" w:rsidP="003665C3">
      <w:pPr>
        <w:pStyle w:val="a9"/>
        <w:numPr>
          <w:ilvl w:val="0"/>
          <w:numId w:val="2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установке замка применять фрезерную машину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стамеску или молоток запрещается.</w:t>
      </w:r>
    </w:p>
    <w:p w:rsidR="00C953F5" w:rsidRDefault="00286A2E" w:rsidP="003665C3">
      <w:pPr>
        <w:pStyle w:val="a9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осмотрите устанавливаемую дверь на наличие повреждений при транспортировании. Не устанавливайте дверь с видимыми повреждениями или изъянами.</w:t>
      </w:r>
    </w:p>
    <w:p w:rsidR="00286A2E" w:rsidRDefault="00286A2E" w:rsidP="003665C3">
      <w:pPr>
        <w:pStyle w:val="a9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Дверная коробка должна быть надежно закреплена в дверном проеме (перпендикулярно к полотну за дверную ручку).</w:t>
      </w:r>
    </w:p>
    <w:p w:rsidR="00286A2E" w:rsidRDefault="00286A2E" w:rsidP="003665C3">
      <w:pPr>
        <w:pStyle w:val="a9"/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дверного блока обеспечивается поворотом полотна соответственно в сторону закрывания или открывания, вследствие приложения нагрузки действующей </w:t>
      </w:r>
      <w:r w:rsidR="00D95223">
        <w:rPr>
          <w:rFonts w:ascii="Times New Roman" w:hAnsi="Times New Roman" w:cs="Times New Roman"/>
          <w:sz w:val="24"/>
          <w:szCs w:val="24"/>
        </w:rPr>
        <w:t>перпендикулярно к полотну за дверную ручку.</w:t>
      </w:r>
    </w:p>
    <w:p w:rsidR="00D95223" w:rsidRDefault="009627AA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РЕКОМЕНДАЦИИ.</w:t>
      </w:r>
    </w:p>
    <w:p w:rsidR="009627AA" w:rsidRDefault="00B16C4F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 использование дверного блока не по назначению. После эксплуатации необходимо утилизировать дверной блок без нанесения ущерба окружающей среде.</w:t>
      </w:r>
    </w:p>
    <w:p w:rsidR="00B16C4F" w:rsidRDefault="00B16C4F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ОТВЕТСТВЕННОСТЬ И ГАРАНТИИ.</w:t>
      </w:r>
    </w:p>
    <w:p w:rsidR="00B16C4F" w:rsidRPr="00B16C4F" w:rsidRDefault="00265D4A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гарантии – 365 календарных дней. При условии выполнения правил хранения, транспортировки, монтажа и эксплуатации гарантируется длительный срок службы. </w:t>
      </w:r>
    </w:p>
    <w:p w:rsidR="00C953F5" w:rsidRPr="00D1026A" w:rsidRDefault="00C953F5" w:rsidP="003665C3">
      <w:pPr>
        <w:pStyle w:val="a9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AD515B" w:rsidRPr="00AD515B" w:rsidRDefault="00AD515B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D91" w:rsidRPr="00946CCE" w:rsidRDefault="007A4D91" w:rsidP="003665C3">
      <w:pPr>
        <w:spacing w:after="0" w:line="240" w:lineRule="auto"/>
        <w:ind w:left="-709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4D91" w:rsidRPr="00946C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31" w:rsidRDefault="00126331" w:rsidP="008C1D24">
      <w:pPr>
        <w:spacing w:after="0" w:line="240" w:lineRule="auto"/>
      </w:pPr>
      <w:r>
        <w:separator/>
      </w:r>
    </w:p>
  </w:endnote>
  <w:endnote w:type="continuationSeparator" w:id="0">
    <w:p w:rsidR="00126331" w:rsidRDefault="00126331" w:rsidP="008C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31" w:rsidRDefault="00126331" w:rsidP="008C1D24">
      <w:pPr>
        <w:spacing w:after="0" w:line="240" w:lineRule="auto"/>
      </w:pPr>
      <w:r>
        <w:separator/>
      </w:r>
    </w:p>
  </w:footnote>
  <w:footnote w:type="continuationSeparator" w:id="0">
    <w:p w:rsidR="00126331" w:rsidRDefault="00126331" w:rsidP="008C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24" w:rsidRDefault="008C1D24" w:rsidP="008C1D24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3419475" cy="7239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BCB"/>
    <w:multiLevelType w:val="hybridMultilevel"/>
    <w:tmpl w:val="B48A7EAE"/>
    <w:lvl w:ilvl="0" w:tplc="90908F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6D823DF"/>
    <w:multiLevelType w:val="hybridMultilevel"/>
    <w:tmpl w:val="3662B1F0"/>
    <w:lvl w:ilvl="0" w:tplc="41ACDD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4D"/>
    <w:rsid w:val="00071F3F"/>
    <w:rsid w:val="00126331"/>
    <w:rsid w:val="00265D4A"/>
    <w:rsid w:val="00286A2E"/>
    <w:rsid w:val="002C6661"/>
    <w:rsid w:val="002F0123"/>
    <w:rsid w:val="00326AA4"/>
    <w:rsid w:val="003665C3"/>
    <w:rsid w:val="0048340D"/>
    <w:rsid w:val="007858D0"/>
    <w:rsid w:val="0079680E"/>
    <w:rsid w:val="007A4D91"/>
    <w:rsid w:val="00880D26"/>
    <w:rsid w:val="008C1D24"/>
    <w:rsid w:val="00943F68"/>
    <w:rsid w:val="00946CCE"/>
    <w:rsid w:val="009627AA"/>
    <w:rsid w:val="00A3758C"/>
    <w:rsid w:val="00AD515B"/>
    <w:rsid w:val="00B16C4F"/>
    <w:rsid w:val="00BD6B03"/>
    <w:rsid w:val="00C953F5"/>
    <w:rsid w:val="00D1026A"/>
    <w:rsid w:val="00D9144D"/>
    <w:rsid w:val="00D95223"/>
    <w:rsid w:val="00E44139"/>
    <w:rsid w:val="00EE4B91"/>
    <w:rsid w:val="00F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D24"/>
  </w:style>
  <w:style w:type="paragraph" w:styleId="a5">
    <w:name w:val="footer"/>
    <w:basedOn w:val="a"/>
    <w:link w:val="a6"/>
    <w:uiPriority w:val="99"/>
    <w:unhideWhenUsed/>
    <w:rsid w:val="008C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D24"/>
  </w:style>
  <w:style w:type="paragraph" w:styleId="a7">
    <w:name w:val="Balloon Text"/>
    <w:basedOn w:val="a"/>
    <w:link w:val="a8"/>
    <w:uiPriority w:val="99"/>
    <w:semiHidden/>
    <w:unhideWhenUsed/>
    <w:rsid w:val="008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D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D24"/>
  </w:style>
  <w:style w:type="paragraph" w:styleId="a5">
    <w:name w:val="footer"/>
    <w:basedOn w:val="a"/>
    <w:link w:val="a6"/>
    <w:uiPriority w:val="99"/>
    <w:unhideWhenUsed/>
    <w:rsid w:val="008C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D24"/>
  </w:style>
  <w:style w:type="paragraph" w:styleId="a7">
    <w:name w:val="Balloon Text"/>
    <w:basedOn w:val="a"/>
    <w:link w:val="a8"/>
    <w:uiPriority w:val="99"/>
    <w:semiHidden/>
    <w:unhideWhenUsed/>
    <w:rsid w:val="008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D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FCF2-0BCF-4383-A7DB-89B144EC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968</Words>
  <Characters>5520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27</cp:revision>
  <dcterms:created xsi:type="dcterms:W3CDTF">2017-08-03T08:00:00Z</dcterms:created>
  <dcterms:modified xsi:type="dcterms:W3CDTF">2017-08-03T09:00:00Z</dcterms:modified>
</cp:coreProperties>
</file>